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imes New Roman" w:hAnsi="Times New Roman" w:eastAsia="宋体" w:cs="Times New Roman"/>
          <w:b/>
          <w:color w:val="000000"/>
          <w:sz w:val="44"/>
          <w:szCs w:val="44"/>
        </w:rPr>
      </w:pPr>
      <w:r>
        <w:rPr>
          <w:rFonts w:ascii="Times New Roman" w:hAnsi="Times New Roman" w:eastAsia="宋体" w:cs="Times New Roman"/>
          <w:b/>
          <w:color w:val="000000"/>
          <w:sz w:val="44"/>
          <w:szCs w:val="44"/>
        </w:rPr>
        <w:t>敦化市人民法院工作报告</w:t>
      </w:r>
    </w:p>
    <w:p>
      <w:pPr>
        <w:spacing w:after="0" w:line="560" w:lineRule="exact"/>
        <w:jc w:val="center"/>
        <w:rPr>
          <w:rFonts w:ascii="Times New Roman" w:hAnsi="Times New Roman" w:eastAsia="宋体" w:cs="Times New Roman"/>
          <w:b/>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rPr>
          <w:rFonts w:ascii="Times New Roman" w:hAnsi="Times New Roman" w:eastAsia="楷体_GB2312" w:cs="Times New Roman"/>
          <w:color w:val="000000"/>
          <w:sz w:val="33"/>
          <w:szCs w:val="33"/>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color w:val="000000"/>
          <w:sz w:val="33"/>
          <w:szCs w:val="33"/>
        </w:rPr>
        <w:t>201</w:t>
      </w:r>
      <w:r>
        <w:rPr>
          <w:rFonts w:hint="eastAsia" w:ascii="Times New Roman" w:hAnsi="Times New Roman" w:eastAsia="楷体_GB2312"/>
          <w:color w:val="000000"/>
          <w:sz w:val="33"/>
          <w:szCs w:val="33"/>
        </w:rPr>
        <w:t>9</w:t>
      </w:r>
      <w:r>
        <w:rPr>
          <w:rFonts w:hint="eastAsia" w:ascii="Times New Roman" w:hAnsi="Times New Roman" w:eastAsia="楷体_GB2312" w:cs="Times New Roman"/>
          <w:color w:val="000000"/>
          <w:sz w:val="33"/>
          <w:szCs w:val="33"/>
        </w:rPr>
        <w:t>年</w:t>
      </w:r>
      <w:r>
        <w:rPr>
          <w:rFonts w:hint="eastAsia" w:ascii="Times New Roman" w:hAnsi="Times New Roman" w:eastAsia="楷体_GB2312"/>
          <w:color w:val="000000"/>
          <w:sz w:val="33"/>
          <w:szCs w:val="33"/>
        </w:rPr>
        <w:t>12</w:t>
      </w:r>
      <w:r>
        <w:rPr>
          <w:rFonts w:hint="eastAsia" w:ascii="Times New Roman" w:hAnsi="Times New Roman" w:eastAsia="楷体_GB2312" w:cs="Times New Roman"/>
          <w:color w:val="000000"/>
          <w:sz w:val="33"/>
          <w:szCs w:val="33"/>
        </w:rPr>
        <w:t>月</w:t>
      </w:r>
      <w:r>
        <w:rPr>
          <w:rFonts w:hint="eastAsia" w:ascii="Times New Roman" w:hAnsi="Times New Roman" w:eastAsia="楷体_GB2312"/>
          <w:color w:val="000000"/>
          <w:sz w:val="33"/>
          <w:szCs w:val="33"/>
        </w:rPr>
        <w:t>19</w:t>
      </w:r>
      <w:r>
        <w:rPr>
          <w:rFonts w:hint="eastAsia" w:ascii="Times New Roman" w:hAnsi="Times New Roman" w:eastAsia="楷体_GB2312" w:cs="Times New Roman"/>
          <w:color w:val="000000"/>
          <w:sz w:val="33"/>
          <w:szCs w:val="33"/>
        </w:rPr>
        <w:t>日在市第十八届人民代表大会第</w:t>
      </w:r>
      <w:r>
        <w:rPr>
          <w:rFonts w:hint="eastAsia" w:ascii="Times New Roman" w:hAnsi="Times New Roman" w:eastAsia="楷体_GB2312"/>
          <w:color w:val="000000"/>
          <w:sz w:val="33"/>
          <w:szCs w:val="33"/>
        </w:rPr>
        <w:t>四</w:t>
      </w:r>
      <w:r>
        <w:rPr>
          <w:rFonts w:hint="eastAsia" w:ascii="Times New Roman" w:hAnsi="Times New Roman" w:eastAsia="楷体_GB2312" w:cs="Times New Roman"/>
          <w:color w:val="000000"/>
          <w:sz w:val="33"/>
          <w:szCs w:val="33"/>
        </w:rPr>
        <w:t>次会上</w:t>
      </w:r>
    </w:p>
    <w:p>
      <w:pPr>
        <w:spacing w:after="0" w:line="560" w:lineRule="exact"/>
        <w:jc w:val="center"/>
        <w:rPr>
          <w:rFonts w:ascii="Times New Roman" w:hAnsi="Times New Roman" w:eastAsia="楷体_GB2312" w:cs="Times New Roman"/>
          <w:color w:val="000000"/>
          <w:sz w:val="33"/>
          <w:szCs w:val="33"/>
        </w:rPr>
      </w:pPr>
      <w:r>
        <w:rPr>
          <w:rFonts w:hint="eastAsia" w:ascii="Times New Roman" w:hAnsi="Times New Roman" w:eastAsia="楷体_GB2312" w:cs="Times New Roman"/>
          <w:color w:val="000000"/>
          <w:sz w:val="33"/>
          <w:szCs w:val="33"/>
        </w:rPr>
        <w:t>市人民法院院长  周群</w:t>
      </w:r>
    </w:p>
    <w:p>
      <w:pPr>
        <w:spacing w:after="0" w:line="560" w:lineRule="exact"/>
        <w:jc w:val="center"/>
        <w:rPr>
          <w:rFonts w:ascii="Times New Roman" w:hAnsi="Times New Roman" w:eastAsia="楷体_GB2312" w:cs="Times New Roman"/>
          <w:color w:val="000000"/>
          <w:sz w:val="32"/>
          <w:szCs w:val="32"/>
        </w:rPr>
      </w:pPr>
    </w:p>
    <w:p>
      <w:pPr>
        <w:widowControl w:val="0"/>
        <w:spacing w:after="0" w:line="560" w:lineRule="exact"/>
        <w:jc w:val="both"/>
        <w:rPr>
          <w:rFonts w:ascii="Times New Roman" w:hAnsi="Times New Roman" w:eastAsia="仿宋_GB2312" w:cs="Times New Roman"/>
          <w:color w:val="000000"/>
          <w:sz w:val="33"/>
          <w:szCs w:val="33"/>
        </w:rPr>
      </w:pPr>
      <w:r>
        <w:rPr>
          <w:rFonts w:ascii="Times New Roman" w:hAnsi="Times New Roman" w:eastAsia="仿宋_GB2312" w:cs="Times New Roman"/>
          <w:color w:val="000000"/>
          <w:sz w:val="33"/>
          <w:szCs w:val="33"/>
        </w:rPr>
        <w:t>各位代表：</w:t>
      </w:r>
    </w:p>
    <w:p>
      <w:pPr>
        <w:widowControl w:val="0"/>
        <w:spacing w:after="0" w:line="560" w:lineRule="exact"/>
        <w:ind w:firstLine="660" w:firstLineChars="200"/>
        <w:jc w:val="both"/>
        <w:rPr>
          <w:rFonts w:ascii="Times New Roman" w:hAnsi="Times New Roman" w:eastAsia="仿宋_GB2312" w:cs="Times New Roman"/>
          <w:color w:val="000000"/>
          <w:sz w:val="33"/>
          <w:szCs w:val="33"/>
        </w:rPr>
      </w:pPr>
      <w:r>
        <w:rPr>
          <w:rFonts w:ascii="Times New Roman" w:hAnsi="Times New Roman" w:eastAsia="仿宋_GB2312" w:cs="Times New Roman"/>
          <w:color w:val="000000"/>
          <w:sz w:val="33"/>
          <w:szCs w:val="33"/>
        </w:rPr>
        <w:t>现在，我代表市人民法院向大会报告工作，请予审议。</w:t>
      </w:r>
    </w:p>
    <w:p>
      <w:pPr>
        <w:widowControl w:val="0"/>
        <w:spacing w:after="0" w:line="560" w:lineRule="exact"/>
        <w:ind w:firstLine="660" w:firstLineChars="200"/>
        <w:jc w:val="both"/>
        <w:rPr>
          <w:rFonts w:ascii="Times New Roman" w:hAnsi="Times New Roman" w:eastAsia="仿宋_GB2312"/>
          <w:sz w:val="33"/>
          <w:szCs w:val="33"/>
        </w:rPr>
      </w:pPr>
      <w:r>
        <w:rPr>
          <w:rFonts w:hint="eastAsia" w:ascii="Times New Roman" w:hAnsi="Times New Roman" w:eastAsia="仿宋_GB2312"/>
          <w:sz w:val="33"/>
          <w:szCs w:val="33"/>
        </w:rPr>
        <w:t>2019年，市法院在市委领导、市人大及其常委会监督和上级法院指导下，在市政府、市政协和社会各界关心支持下，全面贯彻落实习近平新时代中国特色社会主义思想，不断强化司法为民、公正司法，坚持“推进敦化法院高质量发展”工作主基调，紧紧围绕市委中心工作，主动服务大局，忠实履行宪法法律职责，为我市经济社会发展提供有力的司法保障。</w:t>
      </w:r>
    </w:p>
    <w:p>
      <w:pPr>
        <w:widowControl w:val="0"/>
        <w:spacing w:after="0" w:line="560" w:lineRule="exact"/>
        <w:ind w:firstLine="660" w:firstLineChars="200"/>
        <w:jc w:val="both"/>
        <w:rPr>
          <w:rFonts w:ascii="Times New Roman" w:hAnsi="Times New Roman" w:eastAsia="仿宋_GB2312"/>
          <w:sz w:val="33"/>
          <w:szCs w:val="33"/>
        </w:rPr>
      </w:pPr>
      <w:r>
        <w:rPr>
          <w:rFonts w:hint="eastAsia" w:ascii="Times New Roman" w:hAnsi="Times New Roman" w:eastAsia="仿宋_GB2312"/>
          <w:sz w:val="33"/>
          <w:szCs w:val="33"/>
        </w:rPr>
        <w:t>全年共受理各类案件8241件，审结7363件，比上年分别增长5.71%和11.19%，其中审结刑事案件536件，民商事案件4046件，行政案件179件，执行案件2527件，结案率为89.35%，法定审限内结案率100%，法官人均结案175件，收结案、人均结案均创历史新高。</w:t>
      </w:r>
    </w:p>
    <w:p>
      <w:pPr>
        <w:pStyle w:val="8"/>
        <w:widowControl w:val="0"/>
        <w:numPr>
          <w:ilvl w:val="0"/>
          <w:numId w:val="2"/>
        </w:numPr>
        <w:spacing w:after="0" w:line="560" w:lineRule="exact"/>
        <w:ind w:firstLineChars="0"/>
        <w:jc w:val="both"/>
        <w:rPr>
          <w:rFonts w:ascii="Times New Roman" w:hAnsi="Times New Roman" w:eastAsia="黑体"/>
          <w:sz w:val="33"/>
          <w:szCs w:val="33"/>
        </w:rPr>
      </w:pPr>
      <w:r>
        <w:rPr>
          <w:rFonts w:hint="eastAsia" w:ascii="Times New Roman" w:hAnsi="Times New Roman" w:eastAsia="黑体"/>
          <w:sz w:val="33"/>
          <w:szCs w:val="33"/>
        </w:rPr>
        <w:t>依法履行审判职责，维护社会公平正义</w:t>
      </w:r>
    </w:p>
    <w:p>
      <w:pPr>
        <w:widowControl w:val="0"/>
        <w:spacing w:after="0" w:line="560" w:lineRule="exact"/>
        <w:ind w:firstLine="660" w:firstLineChars="200"/>
        <w:jc w:val="both"/>
        <w:rPr>
          <w:rFonts w:ascii="Times New Roman" w:hAnsi="Times New Roman" w:eastAsia="仿宋_GB2312"/>
          <w:sz w:val="33"/>
          <w:szCs w:val="33"/>
        </w:rPr>
      </w:pPr>
      <w:r>
        <w:rPr>
          <w:rFonts w:ascii="Times New Roman" w:hAnsi="Times New Roman" w:eastAsia="仿宋_GB2312"/>
          <w:sz w:val="33"/>
          <w:szCs w:val="33"/>
        </w:rPr>
        <w:t>全面加强刑事、民商事、行政审判和执行工作，充分保障人民群众日益增长的司法需求。</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重拳惩治刑事犯罪，维护社会和谐稳定。</w:t>
      </w:r>
      <w:r>
        <w:rPr>
          <w:rFonts w:hint="eastAsia" w:ascii="Times New Roman" w:hAnsi="Times New Roman" w:eastAsia="仿宋_GB2312"/>
          <w:sz w:val="33"/>
          <w:szCs w:val="33"/>
        </w:rPr>
        <w:t>严惩故意伤害、抢劫等严重犯罪，对76人判处5年有期徒刑以上刑罚。妥善审理“老妈乐”、“华州基业”等一批非法吸收公众存款、集资诈骗等涉众型经济犯罪，涉案金额近8亿元。审结危险驾驶、交通肇事等危害公共安全犯罪案件186件，保障人民群众安居乐业。</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妥善审理民商事案件，切实保障民生权益。</w:t>
      </w:r>
      <w:r>
        <w:rPr>
          <w:rFonts w:hint="eastAsia" w:ascii="Times New Roman" w:hAnsi="Times New Roman" w:eastAsia="仿宋_GB2312"/>
          <w:sz w:val="33"/>
          <w:szCs w:val="33"/>
        </w:rPr>
        <w:t>审结建设工程、房地产纠纷案件154件，促进房地产市场规范有序发展。审结投资、买卖、物流等合同案件2399件，维护诚实信用，增强市场动力活力。审结婚姻家庭、交通事故、医疗损害赔偿等案件744件，着力回应人民群众司法关切。</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依法处理行政纠纷，有效化解行政争议。</w:t>
      </w:r>
      <w:r>
        <w:rPr>
          <w:rFonts w:hint="eastAsia" w:ascii="Times New Roman" w:hAnsi="Times New Roman" w:eastAsia="仿宋_GB2312"/>
          <w:sz w:val="33"/>
          <w:szCs w:val="33"/>
        </w:rPr>
        <w:t>积极开展行政案件相对集中管辖试点工作，在全州开展巡回审判，审理非诉行政执行案件133件，可准予强制执行120件，促进行政争议实质化解，服务法治政府建设。依法保护行政相对人合法权益，支持、监督行政机关依法行政，行政机关负责人出庭应诉率达到100%，发出司法建议10份。</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63" w:firstLineChars="200"/>
        <w:jc w:val="both"/>
        <w:textAlignment w:val="auto"/>
        <w:rPr>
          <w:rFonts w:ascii="Times New Roman" w:hAnsi="Times New Roman" w:eastAsia="仿宋_GB2312"/>
          <w:sz w:val="33"/>
          <w:szCs w:val="33"/>
        </w:rPr>
      </w:pPr>
      <w:r>
        <w:rPr>
          <w:rFonts w:ascii="Times New Roman" w:hAnsi="Times New Roman" w:eastAsia="仿宋_GB2312"/>
          <w:b/>
          <w:sz w:val="33"/>
          <w:szCs w:val="33"/>
        </w:rPr>
        <w:t>持续加大执行力度，全力实现人民群众胜诉权益。</w:t>
      </w:r>
      <w:r>
        <w:rPr>
          <w:rFonts w:ascii="Times New Roman" w:hAnsi="Times New Roman" w:eastAsia="仿宋_GB2312"/>
          <w:sz w:val="33"/>
          <w:szCs w:val="33"/>
        </w:rPr>
        <w:t>紧紧依靠党委领导，积极争取政府支持，深化综合治理执行难“共治”格局。创新执行模式，建立一站式执行综合事务中心，配置新型团队，形成“简案快办、难案精办”的工作机制，并取得明显成效</w:t>
      </w:r>
      <w:r>
        <w:rPr>
          <w:rFonts w:hint="eastAsia" w:ascii="Times New Roman" w:hAnsi="Times New Roman" w:eastAsia="仿宋_GB2312"/>
          <w:sz w:val="33"/>
          <w:szCs w:val="33"/>
        </w:rPr>
        <w:t>。集中开展“春雷行动”“夏日闪电”等专项行动，拘传197人，拘留91人，公布失信被执行人432人，限制高消费1213人。</w:t>
      </w:r>
    </w:p>
    <w:p>
      <w:pPr>
        <w:pStyle w:val="8"/>
        <w:widowControl w:val="0"/>
        <w:numPr>
          <w:ilvl w:val="0"/>
          <w:numId w:val="2"/>
        </w:numPr>
        <w:spacing w:after="0" w:line="560" w:lineRule="exact"/>
        <w:ind w:firstLineChars="0"/>
        <w:jc w:val="both"/>
        <w:rPr>
          <w:rFonts w:ascii="Times New Roman" w:hAnsi="Times New Roman" w:eastAsia="黑体"/>
          <w:sz w:val="33"/>
          <w:szCs w:val="33"/>
        </w:rPr>
      </w:pPr>
      <w:r>
        <w:rPr>
          <w:rFonts w:hint="eastAsia" w:ascii="Times New Roman" w:hAnsi="Times New Roman" w:eastAsia="黑体"/>
          <w:sz w:val="33"/>
          <w:szCs w:val="33"/>
        </w:rPr>
        <w:t>发挥司法职能作用，服务改革发展大局</w:t>
      </w:r>
    </w:p>
    <w:p>
      <w:pPr>
        <w:widowControl w:val="0"/>
        <w:spacing w:after="0" w:line="560" w:lineRule="exact"/>
        <w:ind w:firstLine="660" w:firstLineChars="200"/>
        <w:jc w:val="both"/>
        <w:rPr>
          <w:rFonts w:ascii="Times New Roman" w:hAnsi="Times New Roman" w:eastAsia="仿宋_GB2312"/>
          <w:sz w:val="33"/>
          <w:szCs w:val="33"/>
        </w:rPr>
      </w:pPr>
      <w:r>
        <w:rPr>
          <w:rFonts w:ascii="Times New Roman" w:hAnsi="Times New Roman" w:eastAsia="仿宋_GB2312"/>
          <w:sz w:val="33"/>
          <w:szCs w:val="33"/>
        </w:rPr>
        <w:t>紧扣全市中心工作，聚焦办案主责主业，切实保障经济社会发展。</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维护社会大局稳定。</w:t>
      </w:r>
      <w:r>
        <w:rPr>
          <w:rFonts w:hint="eastAsia" w:ascii="Times New Roman" w:hAnsi="Times New Roman" w:eastAsia="仿宋_GB2312"/>
          <w:sz w:val="33"/>
          <w:szCs w:val="33"/>
        </w:rPr>
        <w:t>深入推进扫黑除恶专项斗争，突出打击重点，从重从快审理涉黑涉恶案件5件13人，排查案件5647件，移交线索9条，发出司法建议2份。积极稳妥实施认罪认罚从宽制度，依法判处非监禁刑285人。全年化解涉诉信访147件，实现重大会事期间“零非访”。</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着力优化营商环境。</w:t>
      </w:r>
      <w:r>
        <w:rPr>
          <w:rFonts w:hint="eastAsia" w:ascii="Times New Roman" w:hAnsi="Times New Roman" w:eastAsia="仿宋_GB2312"/>
          <w:sz w:val="33"/>
          <w:szCs w:val="33"/>
        </w:rPr>
        <w:t>依法打击生产销售伪劣产品和有毒有害食品等犯罪案件32件，审结公司、金融、买卖等各类合同纠纷1692件，维护诚实守信的市场规则。建立涉企案件绿色通道，组成专门工作团队，一年来</w:t>
      </w:r>
      <w:r>
        <w:rPr>
          <w:rFonts w:hint="eastAsia" w:ascii="Times New Roman" w:hAnsi="Times New Roman" w:eastAsia="仿宋_GB2312"/>
          <w:sz w:val="33"/>
          <w:szCs w:val="33"/>
          <w:lang w:eastAsia="zh-CN"/>
        </w:rPr>
        <w:t>，</w:t>
      </w:r>
      <w:bookmarkStart w:id="0" w:name="_GoBack"/>
      <w:bookmarkEnd w:id="0"/>
      <w:r>
        <w:rPr>
          <w:rFonts w:hint="eastAsia" w:ascii="Times New Roman" w:hAnsi="Times New Roman" w:eastAsia="仿宋_GB2312"/>
          <w:sz w:val="33"/>
          <w:szCs w:val="33"/>
        </w:rPr>
        <w:t>共审执结涉企案件631件，尽最大努力降低企业司法成本。坚持法律“六走进”，通过新闻媒体和深入军营、学校、社区等开展法律服务讲座13次。</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依法服务“三大攻坚战”。</w:t>
      </w:r>
      <w:r>
        <w:rPr>
          <w:rFonts w:hint="eastAsia" w:ascii="Times New Roman" w:hAnsi="Times New Roman" w:eastAsia="仿宋_GB2312"/>
          <w:sz w:val="33"/>
          <w:szCs w:val="33"/>
        </w:rPr>
        <w:t>积极参与防范化解金融风险，审结民间借贷、金融借款等案件901件，对违法高息、预先扣息等坚决不予保护。保障脱贫攻坚，审结涉及土地承包、农地流转、征地补偿等案件81件，扶持三道河子村改善人居环境，帮助包保村屯发展电子商业和庭院养殖，现18户42名贫困群众已全部脱贫。服务生态文明建设，成立环境资源审判专业团队，审结环境资源类案件19件，守护青山绿水。</w:t>
      </w:r>
    </w:p>
    <w:p>
      <w:pPr>
        <w:widowControl w:val="0"/>
        <w:spacing w:after="0" w:line="560" w:lineRule="exact"/>
        <w:ind w:firstLine="660" w:firstLineChars="200"/>
        <w:jc w:val="both"/>
        <w:rPr>
          <w:rFonts w:ascii="Times New Roman" w:hAnsi="Times New Roman" w:eastAsia="黑体"/>
          <w:sz w:val="33"/>
          <w:szCs w:val="33"/>
        </w:rPr>
      </w:pPr>
      <w:r>
        <w:rPr>
          <w:rFonts w:hint="eastAsia" w:ascii="Times New Roman" w:hAnsi="Times New Roman" w:eastAsia="黑体"/>
          <w:sz w:val="33"/>
          <w:szCs w:val="33"/>
        </w:rPr>
        <w:t>三、全面深化司法改革，着力提高司法效能</w:t>
      </w:r>
    </w:p>
    <w:p>
      <w:pPr>
        <w:widowControl w:val="0"/>
        <w:spacing w:after="0" w:line="560" w:lineRule="exact"/>
        <w:ind w:firstLine="660" w:firstLineChars="200"/>
        <w:jc w:val="both"/>
        <w:rPr>
          <w:rFonts w:ascii="Times New Roman" w:hAnsi="Times New Roman" w:eastAsia="仿宋_GB2312"/>
          <w:sz w:val="33"/>
          <w:szCs w:val="33"/>
        </w:rPr>
      </w:pPr>
      <w:r>
        <w:rPr>
          <w:rFonts w:ascii="Times New Roman" w:hAnsi="Times New Roman" w:eastAsia="仿宋_GB2312"/>
          <w:sz w:val="33"/>
          <w:szCs w:val="33"/>
        </w:rPr>
        <w:t>持续改革创新，深入推进司法体制配套改革，促进审判体系和审判能力现代化。</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大力加强诉源治理、诉调对接。</w:t>
      </w:r>
      <w:r>
        <w:rPr>
          <w:rFonts w:hint="eastAsia" w:ascii="Times New Roman" w:hAnsi="Times New Roman" w:eastAsia="仿宋_GB2312"/>
          <w:sz w:val="33"/>
          <w:szCs w:val="33"/>
        </w:rPr>
        <w:t>优化升级纠纷解决体系，推进覆盖全流程、全区域、全社会的多元纠纷解决平台建设。在全市建立16个巡回审判点和25个纠纷化解工作站，新设7家专业调解组织，聘请96名特邀调解员，更多的矛盾纠纷得以化解在诉前和萌芽状态，全年共化解矛盾纠纷922件，化解成功率41.78%。</w:t>
      </w:r>
    </w:p>
    <w:p>
      <w:pPr>
        <w:widowControl w:val="0"/>
        <w:spacing w:after="0" w:line="560" w:lineRule="exact"/>
        <w:ind w:firstLine="663" w:firstLineChars="200"/>
        <w:jc w:val="both"/>
        <w:rPr>
          <w:rFonts w:ascii="Times New Roman" w:hAnsi="Times New Roman" w:eastAsia="仿宋_GB2312"/>
          <w:sz w:val="33"/>
          <w:szCs w:val="33"/>
        </w:rPr>
      </w:pPr>
      <w:r>
        <w:rPr>
          <w:rFonts w:ascii="Times New Roman" w:hAnsi="Times New Roman" w:eastAsia="仿宋_GB2312"/>
          <w:b/>
          <w:color w:val="000000"/>
          <w:sz w:val="33"/>
          <w:szCs w:val="33"/>
        </w:rPr>
        <w:t>刑事诉讼制度改革稳步推进。</w:t>
      </w:r>
      <w:r>
        <w:rPr>
          <w:rFonts w:ascii="Times New Roman" w:hAnsi="Times New Roman" w:eastAsia="仿宋_GB2312"/>
          <w:color w:val="000000"/>
          <w:sz w:val="33"/>
          <w:szCs w:val="33"/>
        </w:rPr>
        <w:t>作为全省首批开展刑事案件律师辩护全覆盖工作试点法院，</w:t>
      </w:r>
      <w:r>
        <w:rPr>
          <w:rFonts w:ascii="Times New Roman" w:hAnsi="Times New Roman" w:eastAsia="仿宋_GB2312"/>
          <w:sz w:val="33"/>
          <w:szCs w:val="33"/>
        </w:rPr>
        <w:t>为</w:t>
      </w:r>
      <w:r>
        <w:rPr>
          <w:rFonts w:hint="eastAsia" w:ascii="Times New Roman" w:hAnsi="Times New Roman" w:eastAsia="仿宋_GB2312"/>
          <w:sz w:val="33"/>
          <w:szCs w:val="33"/>
        </w:rPr>
        <w:t>461件978名</w:t>
      </w:r>
      <w:r>
        <w:rPr>
          <w:rFonts w:hint="eastAsia" w:ascii="Times New Roman" w:hAnsi="Times New Roman" w:eastAsia="仿宋_GB2312"/>
          <w:color w:val="000000"/>
          <w:sz w:val="33"/>
          <w:szCs w:val="33"/>
        </w:rPr>
        <w:t>被告人依法指定了法律援助律师，</w:t>
      </w:r>
      <w:r>
        <w:rPr>
          <w:rFonts w:ascii="Times New Roman" w:hAnsi="Times New Roman" w:eastAsia="仿宋_GB2312"/>
          <w:color w:val="000000"/>
          <w:sz w:val="33"/>
          <w:szCs w:val="33"/>
        </w:rPr>
        <w:t>充分保障被告人的诉讼权利。</w:t>
      </w:r>
      <w:r>
        <w:rPr>
          <w:rFonts w:hint="eastAsia" w:ascii="Times New Roman" w:hAnsi="Times New Roman" w:eastAsia="仿宋_GB2312"/>
          <w:sz w:val="33"/>
          <w:szCs w:val="33"/>
        </w:rPr>
        <w:t>推行类案集中审理，审结案件175件，平均审理期限3天。</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智慧法院建设卓有成效。</w:t>
      </w:r>
      <w:r>
        <w:rPr>
          <w:rFonts w:hint="eastAsia" w:ascii="Times New Roman" w:hAnsi="Times New Roman" w:eastAsia="仿宋_GB2312"/>
          <w:sz w:val="33"/>
          <w:szCs w:val="33"/>
        </w:rPr>
        <w:t>完成智能办案辅助中心建设，积极推广“吉林移动微法院”和跨域立案服务。网上立案3307件、电子送达2655件，网上司法拍卖216件，成交金额1521万元，完成州内首例跨层级跨域立案。深化司法公开，累计公开裁判文书6344篇，庭审直播1178件次。</w:t>
      </w:r>
    </w:p>
    <w:p>
      <w:pPr>
        <w:widowControl w:val="0"/>
        <w:spacing w:after="0" w:line="560" w:lineRule="exact"/>
        <w:ind w:firstLine="660" w:firstLineChars="200"/>
        <w:jc w:val="both"/>
        <w:rPr>
          <w:rFonts w:ascii="Times New Roman" w:hAnsi="Times New Roman" w:eastAsia="黑体"/>
          <w:sz w:val="33"/>
          <w:szCs w:val="33"/>
        </w:rPr>
      </w:pPr>
      <w:r>
        <w:rPr>
          <w:rFonts w:hint="eastAsia" w:ascii="Times New Roman" w:hAnsi="Times New Roman" w:eastAsia="黑体"/>
          <w:sz w:val="33"/>
          <w:szCs w:val="33"/>
        </w:rPr>
        <w:t>四、落实全面从严治院，坚持打造过硬队伍</w:t>
      </w:r>
    </w:p>
    <w:p>
      <w:pPr>
        <w:widowControl w:val="0"/>
        <w:spacing w:after="0" w:line="560" w:lineRule="exact"/>
        <w:ind w:firstLine="660" w:firstLineChars="200"/>
        <w:jc w:val="both"/>
        <w:rPr>
          <w:rFonts w:ascii="Times New Roman" w:hAnsi="Times New Roman" w:eastAsia="仿宋_GB2312"/>
          <w:sz w:val="33"/>
          <w:szCs w:val="33"/>
        </w:rPr>
      </w:pPr>
      <w:r>
        <w:rPr>
          <w:rFonts w:hint="eastAsia" w:ascii="Times New Roman" w:hAnsi="Times New Roman" w:eastAsia="仿宋_GB2312"/>
          <w:sz w:val="33"/>
          <w:szCs w:val="33"/>
        </w:rPr>
        <w:t>坚持抓党建带队建促审判，围绕新时代党的建设总要求，努力建设一支政治过硬本领高强的法院队伍。</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始终把政治建设摆在首位。</w:t>
      </w:r>
      <w:r>
        <w:rPr>
          <w:rFonts w:hint="eastAsia" w:ascii="Times New Roman" w:hAnsi="Times New Roman" w:eastAsia="仿宋_GB2312"/>
          <w:sz w:val="33"/>
          <w:szCs w:val="33"/>
        </w:rPr>
        <w:t>以“不忘初心、牢记使命”主题教育为统领，教育干警牢固树立 “四个意识”，确保法院工作始终坚持正确的政治方向。认真落实“两个责任”，通过警示教育、建立廉政档案等多项举措，推进队伍思想政治建设、党风廉政建设常态化、制度化。</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不断推进法院规范化建设。</w:t>
      </w:r>
      <w:r>
        <w:rPr>
          <w:rFonts w:hint="eastAsia" w:ascii="Times New Roman" w:hAnsi="Times New Roman" w:eastAsia="仿宋_GB2312"/>
          <w:sz w:val="33"/>
          <w:szCs w:val="33"/>
        </w:rPr>
        <w:t>扎实推进“加强管理年”活动，整改审判管理、政务管理、队伍管理3大类23项279处问题，开展审务督查4次，发出督查通报4期，机关工作作风和干警精神面貌得到有效转变，市法院在省高院加强管理年督导会上作了经验介绍。</w:t>
      </w:r>
    </w:p>
    <w:p>
      <w:pPr>
        <w:widowControl w:val="0"/>
        <w:spacing w:after="0" w:line="560" w:lineRule="exact"/>
        <w:ind w:firstLine="663" w:firstLineChars="200"/>
        <w:jc w:val="both"/>
        <w:rPr>
          <w:rFonts w:ascii="Times New Roman" w:hAnsi="Times New Roman" w:eastAsia="仿宋_GB2312"/>
          <w:sz w:val="33"/>
          <w:szCs w:val="33"/>
        </w:rPr>
      </w:pPr>
      <w:r>
        <w:rPr>
          <w:rFonts w:hint="eastAsia" w:ascii="Times New Roman" w:hAnsi="Times New Roman" w:eastAsia="仿宋_GB2312"/>
          <w:b/>
          <w:sz w:val="33"/>
          <w:szCs w:val="33"/>
        </w:rPr>
        <w:t>持续强化司法能力建设。</w:t>
      </w:r>
      <w:r>
        <w:rPr>
          <w:rFonts w:hint="eastAsia" w:ascii="Times New Roman" w:hAnsi="Times New Roman" w:eastAsia="仿宋_GB2312"/>
          <w:sz w:val="33"/>
          <w:szCs w:val="33"/>
        </w:rPr>
        <w:t>创建学习型法院，组织干警学习培训15次，广泛开展读书会、业务研讨、学术征文等活动30余次，提升法官履职能力和水平。积极开展各种文体和亲子开放日等丰富多彩的文化活动，不断增进法官干警工作活力。一年来，有1名干警当选为“全省优秀法官”，5名干警、3个集体获得市州级以上荣誉。</w:t>
      </w:r>
    </w:p>
    <w:p>
      <w:pPr>
        <w:widowControl w:val="0"/>
        <w:spacing w:after="0" w:line="560" w:lineRule="exact"/>
        <w:ind w:firstLine="660" w:firstLineChars="200"/>
        <w:jc w:val="both"/>
        <w:rPr>
          <w:rFonts w:ascii="Times New Roman" w:hAnsi="Times New Roman" w:eastAsia="黑体"/>
          <w:sz w:val="33"/>
          <w:szCs w:val="33"/>
        </w:rPr>
      </w:pPr>
      <w:r>
        <w:rPr>
          <w:rFonts w:hint="eastAsia" w:ascii="Times New Roman" w:hAnsi="Times New Roman" w:eastAsia="黑体"/>
          <w:sz w:val="33"/>
          <w:szCs w:val="33"/>
        </w:rPr>
        <w:t>五、自觉接受全面监督，促进提升司法公信</w:t>
      </w:r>
    </w:p>
    <w:p>
      <w:pPr>
        <w:widowControl w:val="0"/>
        <w:spacing w:after="0" w:line="560" w:lineRule="exact"/>
        <w:ind w:firstLine="660" w:firstLineChars="200"/>
        <w:jc w:val="both"/>
        <w:rPr>
          <w:rFonts w:ascii="Times New Roman" w:hAnsi="Times New Roman" w:eastAsia="仿宋_GB2312"/>
          <w:sz w:val="33"/>
          <w:szCs w:val="33"/>
        </w:rPr>
      </w:pPr>
      <w:r>
        <w:rPr>
          <w:rFonts w:hint="eastAsia" w:ascii="Times New Roman" w:hAnsi="Times New Roman" w:eastAsia="仿宋_GB2312"/>
          <w:sz w:val="33"/>
          <w:szCs w:val="33"/>
        </w:rPr>
        <w:t>牢固树立“监督就是支持”的理念，切实加强沟通联络，不断改进法院工作。</w:t>
      </w:r>
    </w:p>
    <w:p>
      <w:pPr>
        <w:widowControl w:val="0"/>
        <w:spacing w:after="0" w:line="560" w:lineRule="exact"/>
        <w:ind w:firstLine="663" w:firstLineChars="200"/>
        <w:jc w:val="both"/>
        <w:rPr>
          <w:rFonts w:ascii="Times New Roman" w:hAnsi="Times New Roman" w:eastAsia="仿宋_GB2312"/>
          <w:color w:val="000000"/>
          <w:sz w:val="33"/>
          <w:szCs w:val="33"/>
        </w:rPr>
      </w:pPr>
      <w:r>
        <w:rPr>
          <w:rFonts w:hint="eastAsia" w:ascii="Times New Roman" w:hAnsi="Times New Roman" w:eastAsia="仿宋_GB2312"/>
          <w:b/>
          <w:sz w:val="33"/>
          <w:szCs w:val="33"/>
        </w:rPr>
        <w:t>主动接受人大监督。</w:t>
      </w:r>
      <w:r>
        <w:rPr>
          <w:rFonts w:hint="eastAsia" w:ascii="Times New Roman" w:hAnsi="Times New Roman" w:eastAsia="仿宋_GB2312"/>
          <w:sz w:val="33"/>
          <w:szCs w:val="33"/>
        </w:rPr>
        <w:t>积极配合市人大常委会专题听取和审议扫黑除恶专项斗争开展情况，按照审议意见抓好整改。</w:t>
      </w:r>
      <w:r>
        <w:rPr>
          <w:rFonts w:hint="eastAsia" w:ascii="Times New Roman" w:hAnsi="Times New Roman" w:eastAsia="仿宋_GB2312"/>
          <w:color w:val="000000"/>
          <w:sz w:val="33"/>
          <w:szCs w:val="33"/>
        </w:rPr>
        <w:t>加强与代表日常联络沟通，主动</w:t>
      </w:r>
      <w:r>
        <w:rPr>
          <w:rFonts w:ascii="Times New Roman" w:hAnsi="Times New Roman" w:eastAsia="仿宋_GB2312"/>
          <w:color w:val="000000"/>
          <w:sz w:val="33"/>
          <w:szCs w:val="33"/>
        </w:rPr>
        <w:t>邀请</w:t>
      </w:r>
      <w:r>
        <w:rPr>
          <w:rFonts w:hint="eastAsia" w:ascii="Times New Roman" w:hAnsi="Times New Roman" w:eastAsia="仿宋_GB2312"/>
          <w:color w:val="000000"/>
          <w:sz w:val="33"/>
          <w:szCs w:val="33"/>
        </w:rPr>
        <w:t>代表旁听庭审、</w:t>
      </w:r>
      <w:r>
        <w:rPr>
          <w:rFonts w:ascii="Times New Roman" w:hAnsi="Times New Roman" w:eastAsia="仿宋_GB2312"/>
          <w:color w:val="000000"/>
          <w:sz w:val="33"/>
          <w:szCs w:val="33"/>
        </w:rPr>
        <w:t>走访</w:t>
      </w:r>
      <w:r>
        <w:rPr>
          <w:rFonts w:hint="eastAsia" w:ascii="Times New Roman" w:hAnsi="Times New Roman" w:eastAsia="仿宋_GB2312"/>
          <w:color w:val="000000"/>
          <w:sz w:val="33"/>
          <w:szCs w:val="33"/>
        </w:rPr>
        <w:t>视察、见证执行53人次。今年9月，部分全国、省人大代表到市法院视察调研，对法院工作给予充分肯定。</w:t>
      </w:r>
    </w:p>
    <w:p>
      <w:pPr>
        <w:widowControl w:val="0"/>
        <w:spacing w:after="0" w:line="560" w:lineRule="exact"/>
        <w:ind w:firstLine="663" w:firstLineChars="200"/>
        <w:jc w:val="both"/>
        <w:rPr>
          <w:rFonts w:ascii="Times New Roman" w:hAnsi="Times New Roman" w:eastAsia="仿宋_GB2312"/>
          <w:color w:val="000000"/>
          <w:sz w:val="33"/>
          <w:szCs w:val="33"/>
        </w:rPr>
      </w:pPr>
      <w:r>
        <w:rPr>
          <w:rFonts w:hint="eastAsia" w:ascii="Times New Roman" w:hAnsi="Times New Roman" w:eastAsia="仿宋_GB2312"/>
          <w:b/>
          <w:sz w:val="33"/>
          <w:szCs w:val="33"/>
        </w:rPr>
        <w:t>依法接受检察监督。</w:t>
      </w:r>
      <w:r>
        <w:rPr>
          <w:rFonts w:hint="eastAsia" w:ascii="Times New Roman" w:hAnsi="Times New Roman" w:eastAsia="仿宋_GB2312"/>
          <w:sz w:val="33"/>
          <w:szCs w:val="33"/>
        </w:rPr>
        <w:t>支持检察机关履行法律监督职能，落实检察长列席同级法院审委会制度，邀请检察长列席审委会2次，认真办理检察建议3件。</w:t>
      </w:r>
    </w:p>
    <w:p>
      <w:pPr>
        <w:widowControl w:val="0"/>
        <w:spacing w:after="0" w:line="560" w:lineRule="exact"/>
        <w:ind w:firstLine="663" w:firstLineChars="200"/>
        <w:jc w:val="both"/>
        <w:rPr>
          <w:rFonts w:ascii="Times New Roman" w:hAnsi="Times New Roman" w:eastAsia="仿宋_GB2312"/>
          <w:color w:val="000000"/>
          <w:sz w:val="33"/>
          <w:szCs w:val="33"/>
        </w:rPr>
      </w:pPr>
      <w:r>
        <w:rPr>
          <w:rFonts w:hint="eastAsia" w:ascii="Times New Roman" w:hAnsi="Times New Roman" w:eastAsia="仿宋_GB2312"/>
          <w:b/>
          <w:sz w:val="33"/>
          <w:szCs w:val="33"/>
        </w:rPr>
        <w:t>广泛接受社会监督。</w:t>
      </w:r>
      <w:r>
        <w:rPr>
          <w:rFonts w:hint="eastAsia" w:ascii="Times New Roman" w:hAnsi="Times New Roman" w:eastAsia="仿宋_GB2312"/>
          <w:sz w:val="33"/>
          <w:szCs w:val="33"/>
        </w:rPr>
        <w:t>邀请媒体记者、社会群众、中小学生参加公众开放日</w:t>
      </w:r>
      <w:r>
        <w:rPr>
          <w:rFonts w:hint="eastAsia" w:ascii="Times New Roman" w:hAnsi="Times New Roman" w:eastAsia="仿宋_GB2312"/>
          <w:color w:val="000000"/>
          <w:sz w:val="33"/>
          <w:szCs w:val="33"/>
        </w:rPr>
        <w:t>300余人次。落实人民陪审员倍增计划，选任人民陪审员229名</w:t>
      </w:r>
      <w:r>
        <w:rPr>
          <w:rFonts w:ascii="Times New Roman" w:hAnsi="Times New Roman" w:eastAsia="仿宋_GB2312"/>
          <w:color w:val="000000"/>
          <w:sz w:val="33"/>
          <w:szCs w:val="33"/>
        </w:rPr>
        <w:t>。通过传统媒体和新媒体平台密切与群众沟通联系，</w:t>
      </w:r>
      <w:r>
        <w:rPr>
          <w:rFonts w:hint="eastAsia" w:ascii="Times New Roman" w:hAnsi="Times New Roman" w:eastAsia="仿宋_GB2312"/>
          <w:sz w:val="33"/>
          <w:szCs w:val="33"/>
        </w:rPr>
        <w:t>发布信息225篇次，推送12万人次</w:t>
      </w:r>
      <w:r>
        <w:rPr>
          <w:rFonts w:ascii="Times New Roman" w:hAnsi="Times New Roman" w:eastAsia="仿宋_GB2312"/>
          <w:color w:val="000000"/>
          <w:sz w:val="33"/>
          <w:szCs w:val="33"/>
        </w:rPr>
        <w:t>。拍</w:t>
      </w:r>
      <w:r>
        <w:rPr>
          <w:rFonts w:hint="eastAsia" w:ascii="Times New Roman" w:hAnsi="Times New Roman" w:eastAsia="仿宋_GB2312"/>
          <w:color w:val="000000"/>
          <w:sz w:val="33"/>
          <w:szCs w:val="33"/>
        </w:rPr>
        <w:t>摄主题MV《2403》，获得省法院原创歌曲评选优秀奖。</w:t>
      </w:r>
    </w:p>
    <w:p>
      <w:pPr>
        <w:widowControl w:val="0"/>
        <w:spacing w:after="0" w:line="560" w:lineRule="exact"/>
        <w:ind w:firstLine="660" w:firstLineChars="200"/>
        <w:jc w:val="both"/>
        <w:rPr>
          <w:rFonts w:ascii="Times New Roman" w:hAnsi="Times New Roman" w:eastAsia="仿宋_GB2312" w:cs="Times New Roman"/>
          <w:color w:val="000000"/>
          <w:sz w:val="33"/>
          <w:szCs w:val="33"/>
        </w:rPr>
      </w:pPr>
      <w:r>
        <w:rPr>
          <w:rFonts w:ascii="Times New Roman" w:hAnsi="Times New Roman" w:eastAsia="仿宋_GB2312" w:cs="Times New Roman"/>
          <w:color w:val="000000"/>
          <w:sz w:val="33"/>
          <w:szCs w:val="33"/>
        </w:rPr>
        <w:t>各位代表，一年来，市法院的发展进步是市委坚强领导、市人大及其常委会有力监督、市政府大力支持、市政协及社会各界、人大代表、政协委员共同关心、支持、帮助的结果。在此，我代表市法院表示衷心的感谢，并致以崇高的敬意！</w:t>
      </w:r>
    </w:p>
    <w:p>
      <w:pPr>
        <w:widowControl w:val="0"/>
        <w:spacing w:after="0" w:line="560" w:lineRule="exact"/>
        <w:ind w:firstLine="660" w:firstLineChars="200"/>
        <w:jc w:val="both"/>
        <w:rPr>
          <w:rFonts w:ascii="Times New Roman" w:hAnsi="Times New Roman" w:eastAsia="仿宋_GB2312"/>
          <w:color w:val="000000"/>
          <w:sz w:val="33"/>
          <w:szCs w:val="33"/>
        </w:rPr>
      </w:pPr>
      <w:r>
        <w:rPr>
          <w:rFonts w:hint="eastAsia" w:ascii="Times New Roman" w:hAnsi="Times New Roman" w:eastAsia="仿宋_GB2312"/>
          <w:sz w:val="33"/>
          <w:szCs w:val="33"/>
        </w:rPr>
        <w:t>在肯定成绩的同时，我们也清醒的认识到，法院工作还存在不少困难和短板。一是部分法官干警的司法能力还不能适应人民群众日益增长的司法需求；二是案件数量持续攀升，提高审判质效的压力不断增大；三是法院信息化建设、精细化管理、便民化诉讼服务水平还需提升。对此，</w:t>
      </w:r>
      <w:r>
        <w:rPr>
          <w:rFonts w:ascii="Times New Roman" w:hAnsi="Times New Roman" w:eastAsia="仿宋_GB2312"/>
          <w:color w:val="000000"/>
          <w:sz w:val="33"/>
          <w:szCs w:val="33"/>
        </w:rPr>
        <w:t>我们将在各方关心支持下，积极采取措施，努力加以解决。</w:t>
      </w:r>
    </w:p>
    <w:p>
      <w:pPr>
        <w:widowControl w:val="0"/>
        <w:spacing w:after="0" w:line="560" w:lineRule="exact"/>
        <w:ind w:firstLine="660" w:firstLineChars="200"/>
        <w:jc w:val="both"/>
        <w:rPr>
          <w:rFonts w:ascii="Times New Roman" w:hAnsi="Times New Roman" w:eastAsia="仿宋_GB2312" w:cs="Times New Roman"/>
          <w:color w:val="000000"/>
          <w:sz w:val="33"/>
          <w:szCs w:val="33"/>
        </w:rPr>
      </w:pPr>
      <w:r>
        <w:rPr>
          <w:rFonts w:hint="eastAsia" w:ascii="Times New Roman" w:hAnsi="Times New Roman" w:eastAsia="仿宋_GB2312"/>
          <w:color w:val="000000"/>
          <w:sz w:val="33"/>
          <w:szCs w:val="33"/>
        </w:rPr>
        <w:t>2020</w:t>
      </w:r>
      <w:r>
        <w:rPr>
          <w:rFonts w:hint="eastAsia" w:ascii="Times New Roman" w:hAnsi="Times New Roman" w:eastAsia="仿宋_GB2312" w:cs="Times New Roman"/>
          <w:color w:val="000000"/>
          <w:sz w:val="33"/>
          <w:szCs w:val="33"/>
        </w:rPr>
        <w:t>年，市法院工</w:t>
      </w:r>
      <w:r>
        <w:rPr>
          <w:rFonts w:ascii="Times New Roman" w:hAnsi="Times New Roman" w:eastAsia="仿宋_GB2312" w:cs="Times New Roman"/>
          <w:color w:val="000000"/>
          <w:sz w:val="33"/>
          <w:szCs w:val="33"/>
        </w:rPr>
        <w:t>作的总体目标和任务是：</w:t>
      </w:r>
      <w:r>
        <w:rPr>
          <w:rFonts w:hint="eastAsia" w:ascii="Times New Roman" w:hAnsi="Times New Roman" w:eastAsia="楷体_GB2312" w:cs="Times New Roman"/>
          <w:b/>
          <w:color w:val="000000"/>
          <w:sz w:val="33"/>
          <w:szCs w:val="33"/>
        </w:rPr>
        <w:t>坚持以习近平新时代中国特色社会主义思想为指导，围绕“让人民群众在每一个司法案件中感受到公平正义”目标，全面加强审判执行工作，为经济</w:t>
      </w:r>
      <w:r>
        <w:rPr>
          <w:rFonts w:hint="eastAsia" w:ascii="Times New Roman" w:hAnsi="Times New Roman" w:eastAsia="楷体_GB2312" w:cs="Times New Roman"/>
          <w:b/>
          <w:bCs/>
          <w:color w:val="000000"/>
          <w:sz w:val="33"/>
          <w:szCs w:val="33"/>
        </w:rPr>
        <w:t>社会</w:t>
      </w:r>
      <w:r>
        <w:rPr>
          <w:rFonts w:hint="eastAsia" w:ascii="Times New Roman" w:hAnsi="Times New Roman" w:eastAsia="楷体_GB2312" w:cs="Times New Roman"/>
          <w:b/>
          <w:color w:val="000000"/>
          <w:sz w:val="33"/>
          <w:szCs w:val="33"/>
        </w:rPr>
        <w:t>发展提供更加有力的司法保障。</w:t>
      </w:r>
    </w:p>
    <w:p>
      <w:pPr>
        <w:widowControl w:val="0"/>
        <w:spacing w:after="0" w:line="560" w:lineRule="exact"/>
        <w:ind w:firstLine="663" w:firstLineChars="200"/>
        <w:jc w:val="both"/>
        <w:rPr>
          <w:rFonts w:ascii="Times New Roman" w:hAnsi="Times New Roman" w:eastAsia="仿宋_GB2312"/>
          <w:sz w:val="33"/>
          <w:szCs w:val="33"/>
        </w:rPr>
      </w:pPr>
      <w:r>
        <w:rPr>
          <w:rFonts w:hint="eastAsia" w:ascii="仿宋_GB2312" w:hAnsi="仿宋_GB2312" w:eastAsia="仿宋_GB2312" w:cs="仿宋_GB2312"/>
          <w:b/>
          <w:sz w:val="33"/>
          <w:szCs w:val="33"/>
        </w:rPr>
        <w:t>一是强化使命担当，不断增强服务大局能力。</w:t>
      </w:r>
      <w:r>
        <w:rPr>
          <w:rFonts w:hint="eastAsia" w:ascii="Times New Roman" w:hAnsi="Times New Roman" w:eastAsia="仿宋_GB2312"/>
          <w:sz w:val="33"/>
          <w:szCs w:val="33"/>
        </w:rPr>
        <w:t>围绕市委中心工作，不断优化营商法治环境。深入推进扫黑除恶专项斗争，依法惩治各类刑事犯罪，不断增强人民群众的获得感、幸福感和安全感。</w:t>
      </w:r>
    </w:p>
    <w:p>
      <w:pPr>
        <w:widowControl w:val="0"/>
        <w:spacing w:after="0" w:line="560" w:lineRule="exact"/>
        <w:ind w:firstLine="663" w:firstLineChars="200"/>
        <w:jc w:val="both"/>
        <w:rPr>
          <w:rFonts w:ascii="Times New Roman" w:hAnsi="Times New Roman" w:eastAsia="仿宋_GB2312"/>
          <w:sz w:val="33"/>
          <w:szCs w:val="33"/>
        </w:rPr>
      </w:pPr>
      <w:r>
        <w:rPr>
          <w:rFonts w:hint="eastAsia" w:ascii="仿宋_GB2312" w:hAnsi="仿宋_GB2312" w:eastAsia="仿宋_GB2312" w:cs="仿宋_GB2312"/>
          <w:b/>
          <w:sz w:val="33"/>
          <w:szCs w:val="33"/>
        </w:rPr>
        <w:t>二是坚持司法为民，全力提升司法工作水平。</w:t>
      </w:r>
      <w:r>
        <w:rPr>
          <w:rFonts w:hint="eastAsia" w:ascii="Times New Roman" w:hAnsi="Times New Roman" w:eastAsia="仿宋_GB2312"/>
          <w:sz w:val="33"/>
          <w:szCs w:val="33"/>
        </w:rPr>
        <w:t>深化“智慧法院”建设，创新司法为民便民利民机制。加强涉民生案件审判工作，继续强化法治宣传效果，促进提升人民群众依法维权意识和能力。</w:t>
      </w:r>
    </w:p>
    <w:p>
      <w:pPr>
        <w:widowControl w:val="0"/>
        <w:spacing w:after="0" w:line="560" w:lineRule="exact"/>
        <w:ind w:firstLine="663" w:firstLineChars="200"/>
        <w:jc w:val="both"/>
        <w:rPr>
          <w:rFonts w:ascii="Times New Roman" w:hAnsi="Times New Roman" w:eastAsia="仿宋_GB2312"/>
          <w:sz w:val="33"/>
          <w:szCs w:val="33"/>
        </w:rPr>
      </w:pPr>
      <w:r>
        <w:rPr>
          <w:rFonts w:hint="eastAsia" w:ascii="仿宋_GB2312" w:hAnsi="仿宋_GB2312" w:eastAsia="仿宋_GB2312" w:cs="仿宋_GB2312"/>
          <w:b/>
          <w:sz w:val="33"/>
          <w:szCs w:val="33"/>
        </w:rPr>
        <w:t>三是坚持从严治院，深入推进法院队伍建设。</w:t>
      </w:r>
      <w:r>
        <w:rPr>
          <w:rFonts w:hint="eastAsia" w:ascii="Times New Roman" w:hAnsi="Times New Roman" w:eastAsia="仿宋_GB2312"/>
          <w:sz w:val="33"/>
          <w:szCs w:val="33"/>
        </w:rPr>
        <w:t>着力解决人民群众反映强烈的突出问题，以零容忍态度正风肃纪，促进公正廉洁司法。不断完善司法职业保障机制，确保法官身心健康。</w:t>
      </w:r>
    </w:p>
    <w:p>
      <w:pPr>
        <w:widowControl w:val="0"/>
        <w:spacing w:after="0" w:line="560" w:lineRule="exact"/>
        <w:ind w:firstLine="660" w:firstLineChars="200"/>
        <w:jc w:val="both"/>
        <w:rPr>
          <w:rFonts w:ascii="Times New Roman" w:hAnsi="Times New Roman" w:eastAsia="仿宋_GB2312"/>
          <w:sz w:val="33"/>
          <w:szCs w:val="33"/>
        </w:rPr>
      </w:pPr>
      <w:r>
        <w:rPr>
          <w:rFonts w:hint="eastAsia" w:ascii="Times New Roman" w:hAnsi="Times New Roman" w:eastAsia="仿宋_GB2312"/>
          <w:sz w:val="33"/>
          <w:szCs w:val="33"/>
        </w:rPr>
        <w:t>各位代表，新的一年，市法院将在市委坚强领导和市人大有力监督下，在市政府、市政协和社会各界大力支持下，不忘初心、牢记使命，认真落实本次大会提出的各项任务，忠诚履职，担当作为，努力为开创实力敦化、活力敦化、魅力敦化新局面作出新的更大的贡献！</w:t>
      </w:r>
    </w:p>
    <w:sectPr>
      <w:footerReference r:id="rId3" w:type="default"/>
      <w:pgSz w:w="11906" w:h="16838"/>
      <w:pgMar w:top="2211" w:right="1531" w:bottom="1871" w:left="153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numPr>
        <w:ilvl w:val="0"/>
        <w:numId w:val="1"/>
      </w:numPr>
      <w:jc w:val="cente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PAGE   \* MERGEFORMAT </w:instrText>
    </w:r>
    <w:r>
      <w:rPr>
        <w:rFonts w:ascii="仿宋_GB2312" w:eastAsia="仿宋_GB2312"/>
        <w:sz w:val="32"/>
        <w:szCs w:val="32"/>
      </w:rPr>
      <w:fldChar w:fldCharType="separate"/>
    </w:r>
    <w:r>
      <w:rPr>
        <w:rFonts w:ascii="仿宋_GB2312" w:eastAsia="仿宋_GB2312"/>
        <w:sz w:val="32"/>
        <w:szCs w:val="32"/>
        <w:lang w:val="zh-CN"/>
      </w:rPr>
      <w:t>1</w:t>
    </w:r>
    <w:r>
      <w:rPr>
        <w:rFonts w:ascii="仿宋_GB2312" w:eastAsia="仿宋_GB2312"/>
        <w:sz w:val="32"/>
        <w:szCs w:val="32"/>
      </w:rPr>
      <w:fldChar w:fldCharType="end"/>
    </w:r>
    <w:r>
      <w:rPr>
        <w:rFonts w:hint="eastAsia" w:ascii="仿宋_GB2312" w:eastAsia="仿宋_GB2312"/>
        <w:sz w:val="32"/>
        <w:szCs w:val="32"/>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4822"/>
    <w:multiLevelType w:val="multilevel"/>
    <w:tmpl w:val="5EDE4822"/>
    <w:lvl w:ilvl="0" w:tentative="0">
      <w:start w:val="2"/>
      <w:numFmt w:val="bullet"/>
      <w:lvlText w:val="-"/>
      <w:lvlJc w:val="left"/>
      <w:pPr>
        <w:ind w:left="360" w:hanging="360"/>
      </w:pPr>
      <w:rPr>
        <w:rFonts w:hint="eastAsia" w:ascii="仿宋_GB2312" w:hAnsi="Tahoma" w:eastAsia="仿宋_GB2312"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33B6936"/>
    <w:multiLevelType w:val="multilevel"/>
    <w:tmpl w:val="733B693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095F"/>
    <w:rsid w:val="00054986"/>
    <w:rsid w:val="00056CE6"/>
    <w:rsid w:val="00060F09"/>
    <w:rsid w:val="00065AFF"/>
    <w:rsid w:val="0007571C"/>
    <w:rsid w:val="0008039F"/>
    <w:rsid w:val="00083E61"/>
    <w:rsid w:val="00086821"/>
    <w:rsid w:val="000A41AC"/>
    <w:rsid w:val="000A5E83"/>
    <w:rsid w:val="000D7CE9"/>
    <w:rsid w:val="0011076C"/>
    <w:rsid w:val="0012288B"/>
    <w:rsid w:val="001500CE"/>
    <w:rsid w:val="001730A2"/>
    <w:rsid w:val="00175FA6"/>
    <w:rsid w:val="001B0626"/>
    <w:rsid w:val="001C1670"/>
    <w:rsid w:val="001D22A5"/>
    <w:rsid w:val="001E2135"/>
    <w:rsid w:val="001E3B47"/>
    <w:rsid w:val="001E5C3F"/>
    <w:rsid w:val="001E63EB"/>
    <w:rsid w:val="00224A7A"/>
    <w:rsid w:val="0025609B"/>
    <w:rsid w:val="00276F3C"/>
    <w:rsid w:val="00286A9E"/>
    <w:rsid w:val="002A31E3"/>
    <w:rsid w:val="002A61D4"/>
    <w:rsid w:val="002D086E"/>
    <w:rsid w:val="002E0364"/>
    <w:rsid w:val="002F0A87"/>
    <w:rsid w:val="002F6D25"/>
    <w:rsid w:val="002F7281"/>
    <w:rsid w:val="003115DB"/>
    <w:rsid w:val="00323B43"/>
    <w:rsid w:val="0032717E"/>
    <w:rsid w:val="003405D5"/>
    <w:rsid w:val="00352D71"/>
    <w:rsid w:val="003861EF"/>
    <w:rsid w:val="0039470E"/>
    <w:rsid w:val="0039685F"/>
    <w:rsid w:val="003D37D8"/>
    <w:rsid w:val="003E0338"/>
    <w:rsid w:val="003F6134"/>
    <w:rsid w:val="004061F2"/>
    <w:rsid w:val="00413DA2"/>
    <w:rsid w:val="00420AD0"/>
    <w:rsid w:val="00421A16"/>
    <w:rsid w:val="00426133"/>
    <w:rsid w:val="004302BF"/>
    <w:rsid w:val="00433D20"/>
    <w:rsid w:val="004357DD"/>
    <w:rsid w:val="004358AB"/>
    <w:rsid w:val="00490731"/>
    <w:rsid w:val="004B558F"/>
    <w:rsid w:val="004C6B8C"/>
    <w:rsid w:val="004E6881"/>
    <w:rsid w:val="005142FF"/>
    <w:rsid w:val="00516A15"/>
    <w:rsid w:val="005525C6"/>
    <w:rsid w:val="0055440B"/>
    <w:rsid w:val="005600E5"/>
    <w:rsid w:val="00570EC7"/>
    <w:rsid w:val="005727F3"/>
    <w:rsid w:val="00574F4E"/>
    <w:rsid w:val="00575DC9"/>
    <w:rsid w:val="00592150"/>
    <w:rsid w:val="00592FC8"/>
    <w:rsid w:val="005D2B00"/>
    <w:rsid w:val="005E43FE"/>
    <w:rsid w:val="00605D01"/>
    <w:rsid w:val="0061375B"/>
    <w:rsid w:val="00624192"/>
    <w:rsid w:val="00627120"/>
    <w:rsid w:val="00627459"/>
    <w:rsid w:val="006275C8"/>
    <w:rsid w:val="006422FA"/>
    <w:rsid w:val="00643785"/>
    <w:rsid w:val="006527F9"/>
    <w:rsid w:val="00657547"/>
    <w:rsid w:val="00657FF1"/>
    <w:rsid w:val="006711D3"/>
    <w:rsid w:val="00676210"/>
    <w:rsid w:val="006852FA"/>
    <w:rsid w:val="006902E9"/>
    <w:rsid w:val="006A497C"/>
    <w:rsid w:val="006A7745"/>
    <w:rsid w:val="006B2F6D"/>
    <w:rsid w:val="006D04A9"/>
    <w:rsid w:val="006E1381"/>
    <w:rsid w:val="006F1630"/>
    <w:rsid w:val="006F7AE2"/>
    <w:rsid w:val="007262FA"/>
    <w:rsid w:val="0075468A"/>
    <w:rsid w:val="00754E1C"/>
    <w:rsid w:val="00756BEB"/>
    <w:rsid w:val="007631AA"/>
    <w:rsid w:val="00767115"/>
    <w:rsid w:val="0077532E"/>
    <w:rsid w:val="0077651E"/>
    <w:rsid w:val="00782BCC"/>
    <w:rsid w:val="00797D6A"/>
    <w:rsid w:val="007A158D"/>
    <w:rsid w:val="007A5807"/>
    <w:rsid w:val="007A7F6F"/>
    <w:rsid w:val="007E1540"/>
    <w:rsid w:val="007E79D2"/>
    <w:rsid w:val="007F63F8"/>
    <w:rsid w:val="00822A15"/>
    <w:rsid w:val="00822C63"/>
    <w:rsid w:val="00823CF1"/>
    <w:rsid w:val="00824811"/>
    <w:rsid w:val="00833FEB"/>
    <w:rsid w:val="00834E0D"/>
    <w:rsid w:val="00836144"/>
    <w:rsid w:val="008743E7"/>
    <w:rsid w:val="00882B21"/>
    <w:rsid w:val="00886E85"/>
    <w:rsid w:val="008B4671"/>
    <w:rsid w:val="008B7726"/>
    <w:rsid w:val="008D51B4"/>
    <w:rsid w:val="008E7088"/>
    <w:rsid w:val="009024EE"/>
    <w:rsid w:val="00923074"/>
    <w:rsid w:val="00923C4F"/>
    <w:rsid w:val="0093130C"/>
    <w:rsid w:val="00942ACA"/>
    <w:rsid w:val="00960AFC"/>
    <w:rsid w:val="0096251D"/>
    <w:rsid w:val="009638E1"/>
    <w:rsid w:val="00963929"/>
    <w:rsid w:val="009737B1"/>
    <w:rsid w:val="009766DC"/>
    <w:rsid w:val="00996537"/>
    <w:rsid w:val="009C0F0A"/>
    <w:rsid w:val="009C1290"/>
    <w:rsid w:val="00A14AAF"/>
    <w:rsid w:val="00A25248"/>
    <w:rsid w:val="00A50D31"/>
    <w:rsid w:val="00A906CB"/>
    <w:rsid w:val="00AA3A20"/>
    <w:rsid w:val="00AC3012"/>
    <w:rsid w:val="00AC4707"/>
    <w:rsid w:val="00AD10C2"/>
    <w:rsid w:val="00AD4FCD"/>
    <w:rsid w:val="00AE5A2B"/>
    <w:rsid w:val="00AE6B49"/>
    <w:rsid w:val="00AE78A8"/>
    <w:rsid w:val="00AF1D5E"/>
    <w:rsid w:val="00B16387"/>
    <w:rsid w:val="00B20A82"/>
    <w:rsid w:val="00B3797F"/>
    <w:rsid w:val="00B405D8"/>
    <w:rsid w:val="00B47BCB"/>
    <w:rsid w:val="00B66567"/>
    <w:rsid w:val="00B919CB"/>
    <w:rsid w:val="00B95A5B"/>
    <w:rsid w:val="00BA3D10"/>
    <w:rsid w:val="00BB17C5"/>
    <w:rsid w:val="00BC51B5"/>
    <w:rsid w:val="00BD7C03"/>
    <w:rsid w:val="00BD7E96"/>
    <w:rsid w:val="00BE6D3D"/>
    <w:rsid w:val="00BF511B"/>
    <w:rsid w:val="00C02B6D"/>
    <w:rsid w:val="00C07789"/>
    <w:rsid w:val="00C360BE"/>
    <w:rsid w:val="00C402A2"/>
    <w:rsid w:val="00C44C03"/>
    <w:rsid w:val="00C73BA1"/>
    <w:rsid w:val="00C80743"/>
    <w:rsid w:val="00CC27AB"/>
    <w:rsid w:val="00CD1BD7"/>
    <w:rsid w:val="00CE5A6D"/>
    <w:rsid w:val="00D202BC"/>
    <w:rsid w:val="00D31D50"/>
    <w:rsid w:val="00D4790E"/>
    <w:rsid w:val="00D551CB"/>
    <w:rsid w:val="00D57403"/>
    <w:rsid w:val="00D61A82"/>
    <w:rsid w:val="00D77A6A"/>
    <w:rsid w:val="00D8596C"/>
    <w:rsid w:val="00DB2861"/>
    <w:rsid w:val="00DB36AB"/>
    <w:rsid w:val="00DB6A14"/>
    <w:rsid w:val="00DE6D41"/>
    <w:rsid w:val="00DF3E98"/>
    <w:rsid w:val="00E054FD"/>
    <w:rsid w:val="00E34B44"/>
    <w:rsid w:val="00E36D37"/>
    <w:rsid w:val="00E50BE4"/>
    <w:rsid w:val="00E715BB"/>
    <w:rsid w:val="00EA55DD"/>
    <w:rsid w:val="00EB0D6E"/>
    <w:rsid w:val="00EB0DD3"/>
    <w:rsid w:val="00EC3ADB"/>
    <w:rsid w:val="00F05805"/>
    <w:rsid w:val="00F25BB4"/>
    <w:rsid w:val="00F3638F"/>
    <w:rsid w:val="00F4427C"/>
    <w:rsid w:val="00F642CD"/>
    <w:rsid w:val="00F76B52"/>
    <w:rsid w:val="00F80511"/>
    <w:rsid w:val="00F87336"/>
    <w:rsid w:val="00F919ED"/>
    <w:rsid w:val="00FA4B33"/>
    <w:rsid w:val="00FA58F0"/>
    <w:rsid w:val="00FE2705"/>
    <w:rsid w:val="00FE456F"/>
    <w:rsid w:val="00FE7D8F"/>
    <w:rsid w:val="00FF1ACA"/>
    <w:rsid w:val="04CA53FE"/>
    <w:rsid w:val="0E9E03A4"/>
    <w:rsid w:val="1BC959C5"/>
    <w:rsid w:val="507D447C"/>
    <w:rsid w:val="55FC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1848E-5D03-4767-AF9D-3B386AD0BC50}">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536</Words>
  <Characters>3058</Characters>
  <Lines>25</Lines>
  <Paragraphs>7</Paragraphs>
  <TotalTime>3</TotalTime>
  <ScaleCrop>false</ScaleCrop>
  <LinksUpToDate>false</LinksUpToDate>
  <CharactersWithSpaces>3587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2019-12-12T01:19:00Z</dcterms:created>
  <dc:creator>Administrator</dc:creator>
  <cp:lastModifiedBy>Administrator</cp:lastModifiedBy>
  <cp:lastPrinted>2019-12-12T07:20:00Z</cp:lastPrinted>
  <dcterms:modified xsi:type="dcterms:W3CDTF">2019-12-13T02:39:19Z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